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Извещение о закупке по 223-ФЗ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4 ч. 9 Федерального закона № 223-ФЗ</w:t>
      </w:r>
    </w:p>
    <w:p/>
    <w:p>
      <w:pPr>
        <w:pStyle w:val="Heading3"/>
      </w:pPr>
      <w:r>
        <w:rPr>
          <w:rFonts w:ascii="Arial" w:hAnsi="Arial"/>
          <w:color w:val="0C1E45"/>
        </w:rPr>
        <w:t>Способ закупки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Наименование, место нахождения, почтовый адрес заказчика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Контактное лицо, телефон, e-mail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Предмет договора (с указанием количества/объёма)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Место поставки товара / выполнения работ / оказания услуг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Сведения о начальной (максимальной) цене договора (цене лота)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Срок, место и порядок предоставления документации о закупке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Размер, порядок и сроки внесения платы за документацию (если взимается)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Место и дата рассмотрения предложений участников и подведения итогов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Дата и время окончания подачи заявок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Сведения о праве заказчика отказаться от проведения закупки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Адрес электронной торговой площадки (для электронных закупок)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Размер обеспечения заявки и порядок его внесения (при наличии)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Размер обеспечения исполнения договора и порядок его предоставления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Преимущества для МСП (если закупка проводится только среди МСП)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