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Извещение об осуществлении закупки по 44-ФЗ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Структура по ст. 42 Федерального закона № 44-ФЗ</w:t>
      </w:r>
    </w:p>
    <w:p/>
    <w:p>
      <w:pPr>
        <w:pStyle w:val="Heading3"/>
      </w:pPr>
      <w:r>
        <w:rPr>
          <w:rFonts w:ascii="Arial" w:hAnsi="Arial"/>
          <w:color w:val="0C1E45"/>
        </w:rPr>
        <w:t>1. Способ определения поставщика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электронный аукцион / открытый конкурс в электронной форме / запрос котировок в электронной форме</w:t>
      </w:r>
    </w:p>
    <w:p>
      <w:pPr>
        <w:pStyle w:val="Heading3"/>
      </w:pPr>
      <w:r>
        <w:rPr>
          <w:rFonts w:ascii="Arial" w:hAnsi="Arial"/>
          <w:color w:val="0C1E45"/>
        </w:rPr>
        <w:t>2. Наименование, место нахождения, почтовый адрес, адрес электронной почты, телефон заказчика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3. Идентификационный код закупки (ИКЗ)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4. Краткое изложение условий контракта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наименование объекта закупки, краткое описание объекта, объём, место поставки, срок исполнения</w:t>
      </w:r>
    </w:p>
    <w:p>
      <w:pPr>
        <w:pStyle w:val="Heading3"/>
      </w:pPr>
      <w:r>
        <w:rPr>
          <w:rFonts w:ascii="Arial" w:hAnsi="Arial"/>
          <w:color w:val="0C1E45"/>
        </w:rPr>
        <w:t>5. Размер аванса (если предусмотрен)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процент / фиксированная сумма</w:t>
      </w:r>
    </w:p>
    <w:p>
      <w:pPr>
        <w:pStyle w:val="Heading3"/>
      </w:pPr>
      <w:r>
        <w:rPr>
          <w:rFonts w:ascii="Arial" w:hAnsi="Arial"/>
          <w:color w:val="0C1E45"/>
        </w:rPr>
        <w:t>6. Этапы исполнения контракта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если контракт предусматривает поэтапное исполнение — указать этапы и сроки</w:t>
      </w:r>
    </w:p>
    <w:p>
      <w:pPr>
        <w:pStyle w:val="Heading3"/>
      </w:pPr>
      <w:r>
        <w:rPr>
          <w:rFonts w:ascii="Arial" w:hAnsi="Arial"/>
          <w:color w:val="0C1E45"/>
        </w:rPr>
        <w:t>7. НМЦК / начальная цена единицы товара / максимальное значение цены контракта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8. Источник финансирования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указать бюджет / внебюджетный источник</w:t>
      </w:r>
    </w:p>
    <w:p>
      <w:pPr>
        <w:pStyle w:val="Heading3"/>
      </w:pPr>
      <w:r>
        <w:rPr>
          <w:rFonts w:ascii="Arial" w:hAnsi="Arial"/>
          <w:color w:val="0C1E45"/>
        </w:rPr>
        <w:t>9. Размер обеспечения заявки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0,5–5 % НМЦК (для закупок свыше 20 млн ₽); 0,5–1 % (до 20 млн ₽)</w:t>
      </w:r>
    </w:p>
    <w:p>
      <w:pPr>
        <w:pStyle w:val="Heading3"/>
      </w:pPr>
      <w:r>
        <w:rPr>
          <w:rFonts w:ascii="Arial" w:hAnsi="Arial"/>
          <w:color w:val="0C1E45"/>
        </w:rPr>
        <w:t>10. Размер обеспечения исполнения контракта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5–30 % НМЦК (если применимо)</w:t>
      </w:r>
    </w:p>
    <w:p>
      <w:pPr>
        <w:pStyle w:val="Heading3"/>
      </w:pPr>
      <w:r>
        <w:rPr>
          <w:rFonts w:ascii="Arial" w:hAnsi="Arial"/>
          <w:color w:val="0C1E45"/>
        </w:rPr>
        <w:t>11. Размер обеспечения гарантийных обязательств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до 10 % НМЦК (если требуется)</w:t>
      </w:r>
    </w:p>
    <w:p>
      <w:pPr>
        <w:pStyle w:val="Heading3"/>
      </w:pPr>
      <w:r>
        <w:rPr>
          <w:rFonts w:ascii="Arial" w:hAnsi="Arial"/>
          <w:color w:val="0C1E45"/>
        </w:rPr>
        <w:t>12. Дата и время окончания подачи заявок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13. Дата проведения процедуры (электронного аукциона / рассмотрения заявок)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pPr>
        <w:pStyle w:val="Heading3"/>
      </w:pPr>
      <w:r>
        <w:rPr>
          <w:rFonts w:ascii="Arial" w:hAnsi="Arial"/>
          <w:color w:val="0C1E45"/>
        </w:rPr>
        <w:t>14. Преимущества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СМП и СОНКО, организации инвалидов, учреждения УИС</w:t>
      </w:r>
    </w:p>
    <w:p>
      <w:pPr>
        <w:pStyle w:val="Heading3"/>
      </w:pPr>
      <w:r>
        <w:rPr>
          <w:rFonts w:ascii="Arial" w:hAnsi="Arial"/>
          <w:color w:val="0C1E45"/>
        </w:rPr>
        <w:t>15. Ограничения и запреты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ПП РФ № 1875, ПП РФ № 1289 — национальный режим, импортозамещение</w:t>
      </w:r>
    </w:p>
    <w:p>
      <w:pPr>
        <w:pStyle w:val="Heading3"/>
      </w:pPr>
      <w:r>
        <w:rPr>
          <w:rFonts w:ascii="Arial" w:hAnsi="Arial"/>
          <w:color w:val="0C1E45"/>
        </w:rPr>
        <w:t>16. Дополнительные требования к участникам (ПП РФ № 2571)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если объект закупки попадает под действие ПП</w:t>
      </w:r>
    </w:p>
    <w:p>
      <w:pPr>
        <w:pStyle w:val="Heading3"/>
      </w:pPr>
      <w:r>
        <w:rPr>
          <w:rFonts w:ascii="Arial" w:hAnsi="Arial"/>
          <w:color w:val="0C1E45"/>
        </w:rPr>
        <w:t>17. Адрес электронной площадки</w:t>
      </w:r>
    </w:p>
    <w:p>
      <w:r>
        <w:rPr>
          <w:rFonts w:ascii="Arial" w:hAnsi="Arial"/>
          <w:sz w:val="22"/>
        </w:rPr>
        <w:t xml:space="preserve">Значение: </w:t>
      </w:r>
      <w:r>
        <w:rPr>
          <w:rFonts w:ascii="Arial" w:hAnsi="Arial"/>
          <w:color w:val="555555"/>
          <w:sz w:val="22"/>
        </w:rPr>
        <w:t>_____________________________</w:t>
      </w:r>
    </w:p>
    <w:p>
      <w:r>
        <w:rPr>
          <w:rFonts w:ascii="Arial" w:hAnsi="Arial"/>
          <w:b w:val="0"/>
          <w:i/>
          <w:color w:val="555555"/>
          <w:sz w:val="18"/>
        </w:rPr>
        <w:t>Подсказка: указать оператора ЭТП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