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Обоснование НМЦК методом сопоставимых рыночных цен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Приказ Минэкономразвития России от 02.10.2013 № 567</w:t>
      </w:r>
    </w:p>
    <w:p/>
    <w:p>
      <w:pPr>
        <w:pStyle w:val="Heading2"/>
      </w:pPr>
      <w:r>
        <w:rPr>
          <w:rFonts w:ascii="Arial" w:hAnsi="Arial"/>
          <w:color w:val="0C1E45"/>
        </w:rPr>
        <w:t>1. Общие сведения</w:t>
      </w:r>
    </w:p>
    <w:p>
      <w:r>
        <w:rPr>
          <w:rFonts w:ascii="Arial" w:hAnsi="Arial"/>
          <w:sz w:val="22"/>
        </w:rPr>
        <w:t xml:space="preserve">Заказчик: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Наименование объекта закупки: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Код ОКПД2 / КТРУ: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Единица измерения: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Количество (объём) поставки: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 составления обоснования: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2. Применённый метод обоснования НМЦК</w:t>
      </w:r>
    </w:p>
    <w:p>
      <w:r>
        <w:rPr>
          <w:rFonts w:ascii="Arial" w:hAnsi="Arial"/>
          <w:b w:val="0"/>
          <w:i/>
          <w:sz w:val="22"/>
        </w:rPr>
        <w:t>Метод сопоставимых рыночных цен (анализа рынка) — основной метод обоснования НМЦК (ст. 22 44-ФЗ).</w:t>
      </w:r>
    </w:p>
    <w:p>
      <w:pPr>
        <w:pStyle w:val="Heading2"/>
      </w:pPr>
      <w:r>
        <w:rPr>
          <w:rFonts w:ascii="Arial" w:hAnsi="Arial"/>
          <w:color w:val="0C1E45"/>
        </w:rPr>
        <w:t>3. Источники информации о ценах</w:t>
      </w:r>
    </w:p>
    <w:p>
      <w:r>
        <w:rPr>
          <w:rFonts w:ascii="Arial" w:hAnsi="Arial"/>
          <w:b w:val="0"/>
          <w:i w:val="0"/>
          <w:sz w:val="22"/>
        </w:rPr>
        <w:t>В соответствии с приказом Минэкономразвития № 567, использованы не менее трёх источников коммерческих предложений однородных товаров (работ, услуг).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№</w:t>
            </w:r>
          </w:p>
        </w:tc>
        <w:tc>
          <w:tcPr>
            <w:tcW w:type="dxa" w:w="2160"/>
          </w:tcPr>
          <w:p>
            <w:r>
              <w:t>Источник (наименование поставщика, исх. №, дата)</w:t>
            </w:r>
          </w:p>
        </w:tc>
        <w:tc>
          <w:tcPr>
            <w:tcW w:type="dxa" w:w="2160"/>
          </w:tcPr>
          <w:p>
            <w:r>
              <w:t>Цена за ед., ₽</w:t>
            </w:r>
          </w:p>
        </w:tc>
        <w:tc>
          <w:tcPr>
            <w:tcW w:type="dxa" w:w="2160"/>
          </w:tcPr>
          <w:p>
            <w:r>
              <w:t>Цена с учётом приведения, ₽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rPr>
          <w:rFonts w:ascii="Arial" w:hAnsi="Arial"/>
          <w:color w:val="0C1E45"/>
        </w:rPr>
        <w:t>4. Расчёт НМЦК</w:t>
      </w:r>
    </w:p>
    <w:p>
      <w:r>
        <w:rPr>
          <w:rFonts w:ascii="Arial" w:hAnsi="Arial"/>
          <w:b w:val="0"/>
          <w:i w:val="0"/>
          <w:sz w:val="22"/>
        </w:rPr>
        <w:t>Среднее арифметическое цен (формула 1 приказа № 567):</w:t>
      </w:r>
    </w:p>
    <w:p>
      <w:r>
        <w:rPr>
          <w:rFonts w:ascii="Arial" w:hAnsi="Arial"/>
          <w:b w:val="0"/>
          <w:i/>
          <w:sz w:val="22"/>
        </w:rPr>
        <w:t xml:space="preserve">    Цсредн = (Ц1 + Ц2 + Ц3 + … + Цn) / n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 w:val="0"/>
          <w:sz w:val="22"/>
        </w:rPr>
        <w:t>Среднеквадратическое отклонение (σ) и коэффициент вариации (V):</w:t>
      </w:r>
    </w:p>
    <w:p>
      <w:r>
        <w:rPr>
          <w:rFonts w:ascii="Arial" w:hAnsi="Arial"/>
          <w:b w:val="0"/>
          <w:i/>
          <w:sz w:val="22"/>
        </w:rPr>
        <w:t xml:space="preserve">    V = (σ / Цсредн) × 100 %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Если V &gt; 33 %, совокупность цен считается неоднородной — необходимо провести дополнительные исследования рынка либо пересмотреть отобранные источники.</w:t>
      </w:r>
    </w:p>
    <w:p>
      <w:pPr>
        <w:pStyle w:val="Heading2"/>
      </w:pPr>
      <w:r>
        <w:rPr>
          <w:rFonts w:ascii="Arial" w:hAnsi="Arial"/>
          <w:color w:val="0C1E45"/>
        </w:rPr>
        <w:t>5. Результат расчёта</w:t>
      </w:r>
    </w:p>
    <w:p>
      <w:r>
        <w:rPr>
          <w:rFonts w:ascii="Arial" w:hAnsi="Arial"/>
          <w:sz w:val="22"/>
        </w:rPr>
        <w:t xml:space="preserve">Цсредн = 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Среднеквадратическое отклонение σ = 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Коэффициент вариации V = 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НМЦК = Цсредн × количество поставки = 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2"/>
      </w:pPr>
      <w:r>
        <w:rPr>
          <w:rFonts w:ascii="Arial" w:hAnsi="Arial"/>
          <w:color w:val="0C1E45"/>
        </w:rPr>
        <w:t>6. Подпись</w:t>
      </w:r>
    </w:p>
    <w:p>
      <w:r>
        <w:rPr>
          <w:rFonts w:ascii="Arial" w:hAnsi="Arial"/>
          <w:sz w:val="22"/>
        </w:rPr>
        <w:t xml:space="preserve">Должность ответственного лица: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ФИО: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Подпись и дата: </w:t>
      </w:r>
      <w:r>
        <w:rPr>
          <w:rFonts w:ascii="Arial" w:hAnsi="Arial"/>
          <w:color w:val="555555"/>
          <w:sz w:val="22"/>
        </w:rPr>
        <w:t>_____________________________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